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AE15BB" w14:textId="77777777" w:rsidR="00D22EEE" w:rsidRDefault="00000000">
      <w:pPr>
        <w:spacing w:after="100"/>
        <w:rPr>
          <w:rFonts w:ascii="Lato" w:eastAsia="Lato" w:hAnsi="Lato" w:cs="Lato"/>
          <w:b/>
          <w:bCs/>
        </w:rPr>
      </w:pPr>
      <w:r>
        <w:rPr>
          <w:rFonts w:ascii="Lato" w:eastAsia="Lato" w:hAnsi="Lato" w:cs="Lato"/>
          <w:b/>
          <w:bCs/>
        </w:rPr>
        <w:t>HOW TO USE THIS LETTER</w:t>
      </w:r>
    </w:p>
    <w:p w14:paraId="178474B6" w14:textId="77777777" w:rsidR="00D22EEE" w:rsidRDefault="00000000">
      <w:pPr>
        <w:spacing w:after="240"/>
        <w:rPr>
          <w:rFonts w:ascii="Lato" w:eastAsia="Lato" w:hAnsi="Lato" w:cs="Lato"/>
          <w:i/>
          <w:iCs/>
        </w:rPr>
      </w:pPr>
      <w:r>
        <w:rPr>
          <w:rFonts w:ascii="Lato" w:eastAsia="Lato" w:hAnsi="Lato" w:cs="Lato"/>
          <w:i/>
          <w:iCs/>
        </w:rPr>
        <w:t>This is a starting point, not a script. Fill in the yellow boxes, then delete them. Just as important: reword a sentence or two of the fixed text below into your own words as well, not only the story box. MPs' offices notice identical text across letters; a letter that's genuinely yours, even loosely reworded, carries far more weight.</w:t>
      </w:r>
    </w:p>
    <w:tbl>
      <w:tblPr>
        <w:tblStyle w:val="a"/>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120"/>
      </w:tblGrid>
      <w:tr w:rsidR="00D22EEE" w14:paraId="2891FED3" w14:textId="77777777">
        <w:trPr>
          <w:trHeight w:val="975"/>
        </w:trPr>
        <w:tc>
          <w:tcPr>
            <w:tcW w:w="9120" w:type="dxa"/>
            <w:tcBorders>
              <w:top w:val="single" w:sz="6" w:space="0" w:color="D9B84A"/>
              <w:left w:val="single" w:sz="6" w:space="0" w:color="D9B84A"/>
              <w:bottom w:val="single" w:sz="6" w:space="0" w:color="D9B84A"/>
              <w:right w:val="single" w:sz="6" w:space="0" w:color="D9B84A"/>
            </w:tcBorders>
            <w:shd w:val="clear" w:color="auto" w:fill="FFF2CC"/>
            <w:tcMar>
              <w:top w:w="120" w:type="dxa"/>
              <w:left w:w="160" w:type="dxa"/>
              <w:bottom w:w="120" w:type="dxa"/>
              <w:right w:w="160" w:type="dxa"/>
            </w:tcMar>
          </w:tcPr>
          <w:p w14:paraId="4F7E326C" w14:textId="77777777" w:rsidR="00D22EEE" w:rsidRDefault="00000000">
            <w:pPr>
              <w:rPr>
                <w:rFonts w:ascii="Lato" w:eastAsia="Lato" w:hAnsi="Lato" w:cs="Lato"/>
                <w:b/>
                <w:bCs/>
              </w:rPr>
            </w:pPr>
            <w:r>
              <w:rPr>
                <w:rFonts w:ascii="Lato" w:eastAsia="Lato" w:hAnsi="Lato" w:cs="Lato"/>
                <w:b/>
                <w:bCs/>
              </w:rPr>
              <w:t>YOUR TURN: Your name, address, email, phone, and today's date.</w:t>
            </w:r>
          </w:p>
          <w:p w14:paraId="37613DF0" w14:textId="77777777" w:rsidR="00D22EEE" w:rsidRDefault="00000000">
            <w:pPr>
              <w:rPr>
                <w:rFonts w:ascii="Lato" w:eastAsia="Lato" w:hAnsi="Lato" w:cs="Lato"/>
                <w:i/>
                <w:iCs/>
              </w:rPr>
            </w:pPr>
            <w:r>
              <w:rPr>
                <w:rFonts w:ascii="Lato" w:eastAsia="Lato" w:hAnsi="Lato" w:cs="Lato"/>
                <w:i/>
                <w:iCs/>
              </w:rPr>
              <w:t xml:space="preserve">e.g. "Jane Smith, 12 Example Street, Suburb State Postcode | jane@email.com | 04XX XXX </w:t>
            </w:r>
            <w:proofErr w:type="spellStart"/>
            <w:r>
              <w:rPr>
                <w:rFonts w:ascii="Lato" w:eastAsia="Lato" w:hAnsi="Lato" w:cs="Lato"/>
                <w:i/>
                <w:iCs/>
              </w:rPr>
              <w:t>XXX</w:t>
            </w:r>
            <w:proofErr w:type="spellEnd"/>
            <w:r>
              <w:rPr>
                <w:rFonts w:ascii="Lato" w:eastAsia="Lato" w:hAnsi="Lato" w:cs="Lato"/>
                <w:i/>
                <w:iCs/>
              </w:rPr>
              <w:t xml:space="preserve"> | 1 July 2026"</w:t>
            </w:r>
          </w:p>
        </w:tc>
      </w:tr>
    </w:tbl>
    <w:p w14:paraId="03E9A7F1" w14:textId="77777777" w:rsidR="00D22EEE" w:rsidRDefault="00000000">
      <w:pPr>
        <w:spacing w:after="120"/>
        <w:rPr>
          <w:rFonts w:ascii="Lato" w:eastAsia="Lato" w:hAnsi="Lato" w:cs="Lato"/>
        </w:rPr>
      </w:pPr>
      <w:r>
        <w:rPr>
          <w:rFonts w:ascii="Lato" w:eastAsia="Lato" w:hAnsi="Lato" w:cs="Lato"/>
        </w:rPr>
        <w:t xml:space="preserve"> </w:t>
      </w:r>
    </w:p>
    <w:tbl>
      <w:tblPr>
        <w:tblStyle w:val="a0"/>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120"/>
      </w:tblGrid>
      <w:tr w:rsidR="00D22EEE" w14:paraId="0FB01708" w14:textId="77777777">
        <w:trPr>
          <w:trHeight w:val="975"/>
        </w:trPr>
        <w:tc>
          <w:tcPr>
            <w:tcW w:w="9120" w:type="dxa"/>
            <w:tcBorders>
              <w:top w:val="single" w:sz="6" w:space="0" w:color="D9B84A"/>
              <w:left w:val="single" w:sz="6" w:space="0" w:color="D9B84A"/>
              <w:bottom w:val="single" w:sz="6" w:space="0" w:color="D9B84A"/>
              <w:right w:val="single" w:sz="6" w:space="0" w:color="D9B84A"/>
            </w:tcBorders>
            <w:shd w:val="clear" w:color="auto" w:fill="FFF2CC"/>
            <w:tcMar>
              <w:top w:w="120" w:type="dxa"/>
              <w:left w:w="160" w:type="dxa"/>
              <w:bottom w:w="120" w:type="dxa"/>
              <w:right w:w="160" w:type="dxa"/>
            </w:tcMar>
          </w:tcPr>
          <w:p w14:paraId="35DC8060" w14:textId="77777777" w:rsidR="00D22EEE" w:rsidRDefault="00000000">
            <w:pPr>
              <w:rPr>
                <w:rFonts w:ascii="Lato" w:eastAsia="Lato" w:hAnsi="Lato" w:cs="Lato"/>
                <w:b/>
                <w:bCs/>
              </w:rPr>
            </w:pPr>
            <w:r>
              <w:rPr>
                <w:rFonts w:ascii="Lato" w:eastAsia="Lato" w:hAnsi="Lato" w:cs="Lato"/>
                <w:b/>
                <w:bCs/>
              </w:rPr>
              <w:t>YOUR TURN: Your MP's name and electorate office address.</w:t>
            </w:r>
          </w:p>
          <w:p w14:paraId="6735A2B6" w14:textId="77777777" w:rsidR="00D22EEE" w:rsidRDefault="00000000">
            <w:pPr>
              <w:rPr>
                <w:rFonts w:ascii="Lato" w:eastAsia="Lato" w:hAnsi="Lato" w:cs="Lato"/>
                <w:i/>
                <w:iCs/>
              </w:rPr>
            </w:pPr>
            <w:r>
              <w:rPr>
                <w:rFonts w:ascii="Lato" w:eastAsia="Lato" w:hAnsi="Lato" w:cs="Lato"/>
                <w:i/>
                <w:iCs/>
              </w:rPr>
              <w:t>Find them at aph.gov.au/People/Members. e.g. "The Hon. [Full Name] MP, Member for [Electorate], [address]"</w:t>
            </w:r>
          </w:p>
        </w:tc>
      </w:tr>
    </w:tbl>
    <w:p w14:paraId="71704B7F" w14:textId="77777777" w:rsidR="00D22EEE" w:rsidRDefault="00000000">
      <w:pPr>
        <w:spacing w:after="120"/>
        <w:rPr>
          <w:rFonts w:ascii="Lato" w:eastAsia="Lato" w:hAnsi="Lato" w:cs="Lato"/>
        </w:rPr>
      </w:pPr>
      <w:r>
        <w:rPr>
          <w:rFonts w:ascii="Lato" w:eastAsia="Lato" w:hAnsi="Lato" w:cs="Lato"/>
        </w:rPr>
        <w:t xml:space="preserve"> </w:t>
      </w:r>
    </w:p>
    <w:p w14:paraId="7C0D2CD0" w14:textId="77777777" w:rsidR="00D22EEE" w:rsidRDefault="00000000">
      <w:pPr>
        <w:spacing w:after="160"/>
        <w:rPr>
          <w:rFonts w:ascii="Lato" w:eastAsia="Lato" w:hAnsi="Lato" w:cs="Lato"/>
          <w:b/>
          <w:bCs/>
        </w:rPr>
      </w:pPr>
      <w:r>
        <w:rPr>
          <w:rFonts w:ascii="Lato" w:eastAsia="Lato" w:hAnsi="Lato" w:cs="Lato"/>
          <w:b/>
          <w:bCs/>
        </w:rPr>
        <w:t>Re: The Urgent Need for a National Response to Birth-related Trauma in Australia</w:t>
      </w:r>
    </w:p>
    <w:p w14:paraId="207D1423" w14:textId="77777777" w:rsidR="00D22EEE" w:rsidRDefault="00000000">
      <w:pPr>
        <w:spacing w:after="160"/>
        <w:rPr>
          <w:rFonts w:ascii="Lato" w:eastAsia="Lato" w:hAnsi="Lato" w:cs="Lato"/>
        </w:rPr>
      </w:pPr>
      <w:r>
        <w:rPr>
          <w:rFonts w:ascii="Lato" w:eastAsia="Lato" w:hAnsi="Lato" w:cs="Lato"/>
        </w:rPr>
        <w:t>Dear [Title and Surname],</w:t>
      </w:r>
    </w:p>
    <w:p w14:paraId="797A3DD5" w14:textId="77777777" w:rsidR="00D22EEE" w:rsidRDefault="00000000">
      <w:pPr>
        <w:spacing w:after="160"/>
        <w:rPr>
          <w:rFonts w:ascii="Lato" w:eastAsia="Lato" w:hAnsi="Lato" w:cs="Lato"/>
        </w:rPr>
      </w:pPr>
      <w:r>
        <w:rPr>
          <w:rFonts w:ascii="Lato" w:eastAsia="Lato" w:hAnsi="Lato" w:cs="Lato"/>
        </w:rPr>
        <w:t>I'm writing as a constituent affected by birth-related trauma, one of an estimated 100,000 families that are impacted by birth-related trauma every year.</w:t>
      </w:r>
    </w:p>
    <w:tbl>
      <w:tblPr>
        <w:tblStyle w:val="a1"/>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120"/>
      </w:tblGrid>
      <w:tr w:rsidR="00D22EEE" w14:paraId="76B1873D" w14:textId="77777777">
        <w:trPr>
          <w:trHeight w:val="975"/>
        </w:trPr>
        <w:tc>
          <w:tcPr>
            <w:tcW w:w="9120" w:type="dxa"/>
            <w:tcBorders>
              <w:top w:val="single" w:sz="6" w:space="0" w:color="D9B84A"/>
              <w:left w:val="single" w:sz="6" w:space="0" w:color="D9B84A"/>
              <w:bottom w:val="single" w:sz="6" w:space="0" w:color="D9B84A"/>
              <w:right w:val="single" w:sz="6" w:space="0" w:color="D9B84A"/>
            </w:tcBorders>
            <w:shd w:val="clear" w:color="auto" w:fill="FFF2CC"/>
            <w:tcMar>
              <w:top w:w="120" w:type="dxa"/>
              <w:left w:w="160" w:type="dxa"/>
              <w:bottom w:w="120" w:type="dxa"/>
              <w:right w:w="160" w:type="dxa"/>
            </w:tcMar>
          </w:tcPr>
          <w:p w14:paraId="61A2FA48" w14:textId="77777777" w:rsidR="00D22EEE" w:rsidRDefault="00000000">
            <w:pPr>
              <w:rPr>
                <w:rFonts w:ascii="Lato" w:eastAsia="Lato" w:hAnsi="Lato" w:cs="Lato"/>
                <w:b/>
                <w:bCs/>
              </w:rPr>
            </w:pPr>
            <w:r>
              <w:rPr>
                <w:rFonts w:ascii="Lato" w:eastAsia="Lato" w:hAnsi="Lato" w:cs="Lato"/>
                <w:b/>
                <w:bCs/>
              </w:rPr>
              <w:t>YOUR TURN — the most important part: 2–3 sentences on what happened to you and its impact.</w:t>
            </w:r>
          </w:p>
          <w:p w14:paraId="44687732" w14:textId="77777777" w:rsidR="00D22EEE" w:rsidRDefault="00000000">
            <w:pPr>
              <w:rPr>
                <w:rFonts w:ascii="Lato" w:eastAsia="Lato" w:hAnsi="Lato" w:cs="Lato"/>
                <w:i/>
                <w:iCs/>
              </w:rPr>
            </w:pPr>
            <w:r>
              <w:rPr>
                <w:rFonts w:ascii="Lato" w:eastAsia="Lato" w:hAnsi="Lato" w:cs="Lato"/>
                <w:i/>
                <w:iCs/>
              </w:rPr>
              <w:t>e.g. "After my birth, I was in severe pain for eight months before anyone identified a significant pelvic floor injury. I couldn't work, and I had no idea where to turn."</w:t>
            </w:r>
          </w:p>
        </w:tc>
      </w:tr>
    </w:tbl>
    <w:p w14:paraId="139E1358" w14:textId="77777777" w:rsidR="00D22EEE" w:rsidRDefault="00000000">
      <w:pPr>
        <w:spacing w:after="120"/>
        <w:rPr>
          <w:rFonts w:ascii="Lato" w:eastAsia="Lato" w:hAnsi="Lato" w:cs="Lato"/>
        </w:rPr>
      </w:pPr>
      <w:r>
        <w:rPr>
          <w:rFonts w:ascii="Lato" w:eastAsia="Lato" w:hAnsi="Lato" w:cs="Lato"/>
        </w:rPr>
        <w:t xml:space="preserve"> </w:t>
      </w:r>
    </w:p>
    <w:p w14:paraId="3258C4E7" w14:textId="77777777" w:rsidR="00D22EEE" w:rsidRDefault="00000000">
      <w:pPr>
        <w:spacing w:after="160"/>
        <w:rPr>
          <w:rFonts w:ascii="Lato" w:eastAsia="Lato" w:hAnsi="Lato" w:cs="Lato"/>
        </w:rPr>
      </w:pPr>
      <w:r>
        <w:rPr>
          <w:rFonts w:ascii="Lato" w:eastAsia="Lato" w:hAnsi="Lato" w:cs="Lato"/>
        </w:rPr>
        <w:t>This isn't rare. Around 1 in 5 women who give birth experience physical birth trauma roughly 1.1 million women in FY23–24 and a new national report from Birth Trauma Australia puts the annual cost to Australia at $17.5 billion. Yet there's no national clinical guideline for identifying or treating it, no standard care pathway, and no dedicated Medicare funding for the specialist care it requires.</w:t>
      </w:r>
    </w:p>
    <w:p w14:paraId="128692A9" w14:textId="77777777" w:rsidR="00D22EEE" w:rsidRDefault="00000000">
      <w:pPr>
        <w:spacing w:after="160"/>
        <w:rPr>
          <w:rFonts w:ascii="Lato" w:eastAsia="Lato" w:hAnsi="Lato" w:cs="Lato"/>
        </w:rPr>
      </w:pPr>
      <w:r>
        <w:rPr>
          <w:rFonts w:ascii="Lato" w:eastAsia="Lato" w:hAnsi="Lato" w:cs="Lato"/>
        </w:rPr>
        <w:t>I'm asking you to support Birth Trauma Australia's three calls to government:</w:t>
      </w:r>
    </w:p>
    <w:p w14:paraId="4FB50E79" w14:textId="7B1A821F" w:rsidR="00D22EEE" w:rsidRDefault="00000000">
      <w:pPr>
        <w:spacing w:after="120"/>
        <w:ind w:left="1080" w:hanging="360"/>
        <w:rPr>
          <w:rFonts w:ascii="Lato" w:eastAsia="Lato" w:hAnsi="Lato" w:cs="Lato"/>
        </w:rPr>
      </w:pPr>
      <w:r>
        <w:rPr>
          <w:rFonts w:ascii="Arial Unicode MS" w:eastAsia="Arial Unicode MS" w:hAnsi="Arial Unicode MS" w:cs="Arial Unicode MS"/>
        </w:rPr>
        <w:t>●</w:t>
      </w:r>
      <w:r>
        <w:rPr>
          <w:rFonts w:ascii="Lato" w:eastAsia="Lato" w:hAnsi="Lato" w:cs="Lato"/>
        </w:rPr>
        <w:t xml:space="preserve">     </w:t>
      </w:r>
      <w:r>
        <w:rPr>
          <w:rFonts w:ascii="Lato" w:eastAsia="Lato" w:hAnsi="Lato" w:cs="Lato"/>
          <w:b/>
          <w:bCs/>
        </w:rPr>
        <w:t>A national standard for perinatal care</w:t>
      </w:r>
      <w:r>
        <w:rPr>
          <w:rFonts w:ascii="Lato" w:eastAsia="Lato" w:hAnsi="Lato" w:cs="Lato"/>
        </w:rPr>
        <w:t>, extending postnatal care to 12 months instead of care ending at 6 weeks. Minimum standards for antenatal education, postnatal debriefing and follow-up, embedded in hospital accreditation.</w:t>
      </w:r>
    </w:p>
    <w:p w14:paraId="6FF910D2" w14:textId="2B6920C2" w:rsidR="00D22EEE" w:rsidRDefault="00000000">
      <w:pPr>
        <w:spacing w:after="120"/>
        <w:ind w:left="1080" w:hanging="360"/>
        <w:rPr>
          <w:rFonts w:ascii="Lato" w:eastAsia="Lato" w:hAnsi="Lato" w:cs="Lato"/>
          <w:color w:val="1A1A1A"/>
        </w:rPr>
      </w:pPr>
      <w:r>
        <w:rPr>
          <w:rFonts w:ascii="Arial Unicode MS" w:eastAsia="Arial Unicode MS" w:hAnsi="Arial Unicode MS" w:cs="Arial Unicode MS"/>
        </w:rPr>
        <w:t>●</w:t>
      </w:r>
      <w:r>
        <w:rPr>
          <w:rFonts w:ascii="Lato" w:eastAsia="Lato" w:hAnsi="Lato" w:cs="Lato"/>
        </w:rPr>
        <w:t xml:space="preserve">     </w:t>
      </w:r>
      <w:r>
        <w:rPr>
          <w:rFonts w:ascii="Lato" w:eastAsia="Lato" w:hAnsi="Lato" w:cs="Lato"/>
          <w:b/>
          <w:bCs/>
        </w:rPr>
        <w:t>Fix the Medicare gap that leaves birth-related trauma untreated.</w:t>
      </w:r>
      <w:r>
        <w:rPr>
          <w:rFonts w:ascii="Lato" w:eastAsia="Lato" w:hAnsi="Lato" w:cs="Lato"/>
        </w:rPr>
        <w:t xml:space="preserve"> </w:t>
      </w:r>
      <w:r>
        <w:rPr>
          <w:rFonts w:ascii="Lato" w:eastAsia="Lato" w:hAnsi="Lato" w:cs="Lato"/>
          <w:color w:val="1A1A1A"/>
        </w:rPr>
        <w:t xml:space="preserve">Medicare was designed around birth, but not around what happens when birth goes wrong. The </w:t>
      </w:r>
      <w:r>
        <w:rPr>
          <w:rFonts w:ascii="Lato" w:eastAsia="Lato" w:hAnsi="Lato" w:cs="Lato"/>
          <w:color w:val="1A1A1A"/>
        </w:rPr>
        <w:lastRenderedPageBreak/>
        <w:t xml:space="preserve">postnatal check is funded once, too briefly, and too soon. Counselling items are inaccessible to most GPs. Pelvic floor physiotherapy rebates are so low they are effectively meaningless. The result is that women who need help after a traumatic birth face out-of-pocket costs that make care </w:t>
      </w:r>
      <w:proofErr w:type="gramStart"/>
      <w:r>
        <w:rPr>
          <w:rFonts w:ascii="Lato" w:eastAsia="Lato" w:hAnsi="Lato" w:cs="Lato"/>
          <w:color w:val="1A1A1A"/>
        </w:rPr>
        <w:t>unaffordable, or</w:t>
      </w:r>
      <w:proofErr w:type="gramEnd"/>
      <w:r>
        <w:rPr>
          <w:rFonts w:ascii="Lato" w:eastAsia="Lato" w:hAnsi="Lato" w:cs="Lato"/>
          <w:color w:val="1A1A1A"/>
        </w:rPr>
        <w:t xml:space="preserve"> simply cannot find a GP who can bill for the time they need.</w:t>
      </w:r>
    </w:p>
    <w:p w14:paraId="41073276" w14:textId="7E7D63C3" w:rsidR="00D22EEE" w:rsidRDefault="00000000">
      <w:pPr>
        <w:spacing w:after="200"/>
        <w:ind w:left="1080" w:hanging="360"/>
        <w:rPr>
          <w:rFonts w:ascii="Lato" w:eastAsia="Lato" w:hAnsi="Lato" w:cs="Lato"/>
        </w:rPr>
      </w:pPr>
      <w:r>
        <w:rPr>
          <w:rFonts w:ascii="Arial Unicode MS" w:eastAsia="Arial Unicode MS" w:hAnsi="Arial Unicode MS" w:cs="Arial Unicode MS"/>
        </w:rPr>
        <w:t>●</w:t>
      </w:r>
      <w:r>
        <w:rPr>
          <w:rFonts w:ascii="Lato" w:eastAsia="Lato" w:hAnsi="Lato" w:cs="Lato"/>
        </w:rPr>
        <w:t xml:space="preserve">    </w:t>
      </w:r>
      <w:r>
        <w:rPr>
          <w:rFonts w:ascii="Lato" w:eastAsia="Lato" w:hAnsi="Lato" w:cs="Lato"/>
          <w:b/>
          <w:bCs/>
        </w:rPr>
        <w:t>Recognition of pelvic floor dysfunction as a chronic condition</w:t>
      </w:r>
      <w:r>
        <w:rPr>
          <w:rFonts w:ascii="Lato" w:eastAsia="Lato" w:hAnsi="Lato" w:cs="Lato"/>
        </w:rPr>
        <w:t>. Despite affecting more women than endometriosis, pelvic floor dysfunction has no national clinical guidelines, no dedicated Medicare items, and no formal recognition as a chronic condition in Australia's health policy framework. The Government has already shown it understands the case for condition-specific investment in women's health; endometriosis now has dedicated clinics, extended consultations, and a national care pathway. Pelvic floor dysfunction deserves the same.</w:t>
      </w:r>
    </w:p>
    <w:p w14:paraId="4C27C18B" w14:textId="77777777" w:rsidR="00D22EEE" w:rsidRDefault="00D22EEE">
      <w:pPr>
        <w:spacing w:after="200"/>
        <w:ind w:left="1080" w:hanging="360"/>
        <w:rPr>
          <w:rFonts w:ascii="Lato" w:eastAsia="Lato" w:hAnsi="Lato" w:cs="Lato"/>
        </w:rPr>
      </w:pPr>
    </w:p>
    <w:tbl>
      <w:tblPr>
        <w:tblStyle w:val="a2"/>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120"/>
      </w:tblGrid>
      <w:tr w:rsidR="00D22EEE" w14:paraId="18706457" w14:textId="77777777">
        <w:trPr>
          <w:trHeight w:val="735"/>
        </w:trPr>
        <w:tc>
          <w:tcPr>
            <w:tcW w:w="9120" w:type="dxa"/>
            <w:tcBorders>
              <w:top w:val="single" w:sz="6" w:space="0" w:color="D9B84A"/>
              <w:left w:val="single" w:sz="6" w:space="0" w:color="D9B84A"/>
              <w:bottom w:val="single" w:sz="6" w:space="0" w:color="D9B84A"/>
              <w:right w:val="single" w:sz="6" w:space="0" w:color="D9B84A"/>
            </w:tcBorders>
            <w:shd w:val="clear" w:color="auto" w:fill="FFF2CC"/>
            <w:tcMar>
              <w:top w:w="120" w:type="dxa"/>
              <w:left w:w="160" w:type="dxa"/>
              <w:bottom w:w="120" w:type="dxa"/>
              <w:right w:w="160" w:type="dxa"/>
            </w:tcMar>
          </w:tcPr>
          <w:p w14:paraId="2C38C1D2" w14:textId="77777777" w:rsidR="00D22EEE" w:rsidRDefault="00000000">
            <w:pPr>
              <w:rPr>
                <w:rFonts w:ascii="Lato" w:eastAsia="Lato" w:hAnsi="Lato" w:cs="Lato"/>
                <w:b/>
                <w:bCs/>
              </w:rPr>
            </w:pPr>
            <w:r>
              <w:rPr>
                <w:rFonts w:ascii="Lato" w:eastAsia="Lato" w:hAnsi="Lato" w:cs="Lato"/>
                <w:b/>
                <w:bCs/>
              </w:rPr>
              <w:t>YOUR TURN (optional): A specific ask — e.g. raising this in Parliament, writing to the Minister, or meeting with you.</w:t>
            </w:r>
          </w:p>
        </w:tc>
      </w:tr>
    </w:tbl>
    <w:p w14:paraId="2AC62949" w14:textId="77777777" w:rsidR="00D22EEE" w:rsidRDefault="00000000">
      <w:pPr>
        <w:spacing w:after="120"/>
        <w:rPr>
          <w:rFonts w:ascii="Lato" w:eastAsia="Lato" w:hAnsi="Lato" w:cs="Lato"/>
        </w:rPr>
      </w:pPr>
      <w:r>
        <w:rPr>
          <w:rFonts w:ascii="Lato" w:eastAsia="Lato" w:hAnsi="Lato" w:cs="Lato"/>
        </w:rPr>
        <w:t xml:space="preserve"> </w:t>
      </w:r>
    </w:p>
    <w:p w14:paraId="0F2A9A88" w14:textId="77777777" w:rsidR="00D22EEE" w:rsidRDefault="00000000">
      <w:pPr>
        <w:spacing w:after="160"/>
        <w:rPr>
          <w:rFonts w:ascii="Lato" w:eastAsia="Lato" w:hAnsi="Lato" w:cs="Lato"/>
        </w:rPr>
      </w:pPr>
      <w:r>
        <w:rPr>
          <w:rFonts w:ascii="Lato" w:eastAsia="Lato" w:hAnsi="Lato" w:cs="Lato"/>
        </w:rPr>
        <w:t xml:space="preserve">Please raise this with the Minister for Health and the Minister for </w:t>
      </w:r>
      <w:proofErr w:type="gramStart"/>
      <w:r>
        <w:rPr>
          <w:rFonts w:ascii="Lato" w:eastAsia="Lato" w:hAnsi="Lato" w:cs="Lato"/>
        </w:rPr>
        <w:t>Women, and</w:t>
      </w:r>
      <w:proofErr w:type="gramEnd"/>
      <w:r>
        <w:rPr>
          <w:rFonts w:ascii="Lato" w:eastAsia="Lato" w:hAnsi="Lato" w:cs="Lato"/>
        </w:rPr>
        <w:t xml:space="preserve"> support any motion or budget measure that advances it. This goes beyond politics, it's about making sure women and families receive safe, high-quality care during and after one of the biggest moments of their lives.</w:t>
      </w:r>
    </w:p>
    <w:p w14:paraId="7077120B" w14:textId="77777777" w:rsidR="00D22EEE" w:rsidRDefault="00000000">
      <w:pPr>
        <w:spacing w:after="160"/>
        <w:rPr>
          <w:rFonts w:ascii="Lato" w:eastAsia="Lato" w:hAnsi="Lato" w:cs="Lato"/>
        </w:rPr>
      </w:pPr>
      <w:r>
        <w:rPr>
          <w:rFonts w:ascii="Lato" w:eastAsia="Lato" w:hAnsi="Lato" w:cs="Lato"/>
        </w:rPr>
        <w:t>Yours sincerely,</w:t>
      </w:r>
    </w:p>
    <w:tbl>
      <w:tblPr>
        <w:tblStyle w:val="a3"/>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120"/>
      </w:tblGrid>
      <w:tr w:rsidR="00D22EEE" w14:paraId="35947C19" w14:textId="77777777">
        <w:trPr>
          <w:trHeight w:val="735"/>
        </w:trPr>
        <w:tc>
          <w:tcPr>
            <w:tcW w:w="9120" w:type="dxa"/>
            <w:tcBorders>
              <w:top w:val="single" w:sz="6" w:space="0" w:color="D9B84A"/>
              <w:left w:val="single" w:sz="6" w:space="0" w:color="D9B84A"/>
              <w:bottom w:val="single" w:sz="6" w:space="0" w:color="D9B84A"/>
              <w:right w:val="single" w:sz="6" w:space="0" w:color="D9B84A"/>
            </w:tcBorders>
            <w:shd w:val="clear" w:color="auto" w:fill="FFF2CC"/>
            <w:tcMar>
              <w:top w:w="120" w:type="dxa"/>
              <w:left w:w="160" w:type="dxa"/>
              <w:bottom w:w="120" w:type="dxa"/>
              <w:right w:w="160" w:type="dxa"/>
            </w:tcMar>
          </w:tcPr>
          <w:p w14:paraId="22FC2A82" w14:textId="77777777" w:rsidR="00D22EEE" w:rsidRDefault="00000000">
            <w:pPr>
              <w:rPr>
                <w:rFonts w:ascii="Lato" w:eastAsia="Lato" w:hAnsi="Lato" w:cs="Lato"/>
                <w:b/>
                <w:bCs/>
              </w:rPr>
            </w:pPr>
            <w:r>
              <w:rPr>
                <w:rFonts w:ascii="Lato" w:eastAsia="Lato" w:hAnsi="Lato" w:cs="Lato"/>
                <w:b/>
                <w:bCs/>
              </w:rPr>
              <w:t>YOUR TURN: Sign with your full name, address, email and phone number.</w:t>
            </w:r>
          </w:p>
          <w:p w14:paraId="3EF7701A" w14:textId="77777777" w:rsidR="00D22EEE" w:rsidRDefault="00000000">
            <w:pPr>
              <w:rPr>
                <w:rFonts w:ascii="Lato" w:eastAsia="Lato" w:hAnsi="Lato" w:cs="Lato"/>
                <w:i/>
                <w:iCs/>
              </w:rPr>
            </w:pPr>
            <w:r>
              <w:rPr>
                <w:rFonts w:ascii="Lato" w:eastAsia="Lato" w:hAnsi="Lato" w:cs="Lato"/>
                <w:i/>
                <w:iCs/>
              </w:rPr>
              <w:t xml:space="preserve">Your address confirms you're a constituent — </w:t>
            </w:r>
            <w:proofErr w:type="gramStart"/>
            <w:r>
              <w:rPr>
                <w:rFonts w:ascii="Lato" w:eastAsia="Lato" w:hAnsi="Lato" w:cs="Lato"/>
                <w:i/>
                <w:iCs/>
              </w:rPr>
              <w:t>this matters</w:t>
            </w:r>
            <w:proofErr w:type="gramEnd"/>
            <w:r>
              <w:rPr>
                <w:rFonts w:ascii="Lato" w:eastAsia="Lato" w:hAnsi="Lato" w:cs="Lato"/>
                <w:i/>
                <w:iCs/>
              </w:rPr>
              <w:t>.</w:t>
            </w:r>
          </w:p>
        </w:tc>
      </w:tr>
    </w:tbl>
    <w:p w14:paraId="1C699F14" w14:textId="77777777" w:rsidR="00D22EEE" w:rsidRDefault="00000000">
      <w:pPr>
        <w:spacing w:after="120"/>
        <w:rPr>
          <w:rFonts w:ascii="Lato" w:eastAsia="Lato" w:hAnsi="Lato" w:cs="Lato"/>
        </w:rPr>
      </w:pPr>
      <w:r>
        <w:rPr>
          <w:rFonts w:ascii="Lato" w:eastAsia="Lato" w:hAnsi="Lato" w:cs="Lato"/>
        </w:rPr>
        <w:t xml:space="preserve"> </w:t>
      </w:r>
    </w:p>
    <w:p w14:paraId="1B088D7F" w14:textId="77777777" w:rsidR="00D22EEE" w:rsidRDefault="00000000">
      <w:pPr>
        <w:spacing w:after="100"/>
        <w:rPr>
          <w:rFonts w:ascii="Lato" w:eastAsia="Lato" w:hAnsi="Lato" w:cs="Lato"/>
          <w:b/>
          <w:bCs/>
        </w:rPr>
      </w:pPr>
      <w:r>
        <w:rPr>
          <w:rFonts w:ascii="Lato" w:eastAsia="Lato" w:hAnsi="Lato" w:cs="Lato"/>
          <w:b/>
          <w:bCs/>
        </w:rPr>
        <w:t>Before you send (delete this section):</w:t>
      </w:r>
    </w:p>
    <w:p w14:paraId="322902B3" w14:textId="77777777" w:rsidR="00D22EEE" w:rsidRDefault="00000000">
      <w:pPr>
        <w:ind w:left="1080" w:hanging="360"/>
        <w:rPr>
          <w:rFonts w:ascii="Lato" w:eastAsia="Lato" w:hAnsi="Lato" w:cs="Lato"/>
        </w:rPr>
      </w:pPr>
      <w:proofErr w:type="gramStart"/>
      <w:r>
        <w:rPr>
          <w:rFonts w:ascii="Arial Unicode MS" w:eastAsia="Arial Unicode MS" w:hAnsi="Arial Unicode MS" w:cs="Arial Unicode MS"/>
        </w:rPr>
        <w:t>●</w:t>
      </w:r>
      <w:r>
        <w:rPr>
          <w:rFonts w:ascii="Lato" w:eastAsia="Lato" w:hAnsi="Lato" w:cs="Lato"/>
        </w:rPr>
        <w:t xml:space="preserve">  </w:t>
      </w:r>
      <w:r>
        <w:rPr>
          <w:rFonts w:ascii="Lato" w:eastAsia="Lato" w:hAnsi="Lato" w:cs="Lato"/>
        </w:rPr>
        <w:tab/>
      </w:r>
      <w:proofErr w:type="gramEnd"/>
      <w:r>
        <w:rPr>
          <w:rFonts w:ascii="Lato" w:eastAsia="Lato" w:hAnsi="Lato" w:cs="Lato"/>
        </w:rPr>
        <w:t>Filled in all yellow boxes, then deleted them?</w:t>
      </w:r>
    </w:p>
    <w:p w14:paraId="6A596464" w14:textId="77777777" w:rsidR="00D22EEE" w:rsidRDefault="00000000">
      <w:pPr>
        <w:ind w:left="1080" w:hanging="360"/>
        <w:rPr>
          <w:rFonts w:ascii="Lato" w:eastAsia="Lato" w:hAnsi="Lato" w:cs="Lato"/>
        </w:rPr>
      </w:pPr>
      <w:proofErr w:type="gramStart"/>
      <w:r>
        <w:rPr>
          <w:rFonts w:ascii="Arial Unicode MS" w:eastAsia="Arial Unicode MS" w:hAnsi="Arial Unicode MS" w:cs="Arial Unicode MS"/>
        </w:rPr>
        <w:t>●</w:t>
      </w:r>
      <w:r>
        <w:rPr>
          <w:rFonts w:ascii="Lato" w:eastAsia="Lato" w:hAnsi="Lato" w:cs="Lato"/>
        </w:rPr>
        <w:t xml:space="preserve">  </w:t>
      </w:r>
      <w:r>
        <w:rPr>
          <w:rFonts w:ascii="Lato" w:eastAsia="Lato" w:hAnsi="Lato" w:cs="Lato"/>
        </w:rPr>
        <w:tab/>
      </w:r>
      <w:proofErr w:type="gramEnd"/>
      <w:r>
        <w:rPr>
          <w:rFonts w:ascii="Lato" w:eastAsia="Lato" w:hAnsi="Lato" w:cs="Lato"/>
        </w:rPr>
        <w:t>Addressed to your MP by name (aph.gov.au/People/Members)?</w:t>
      </w:r>
    </w:p>
    <w:p w14:paraId="026D4898" w14:textId="77777777" w:rsidR="00D22EEE" w:rsidRDefault="00000000">
      <w:pPr>
        <w:ind w:left="1080" w:hanging="360"/>
        <w:rPr>
          <w:rFonts w:ascii="Lato" w:eastAsia="Lato" w:hAnsi="Lato" w:cs="Lato"/>
        </w:rPr>
      </w:pPr>
      <w:proofErr w:type="gramStart"/>
      <w:r>
        <w:rPr>
          <w:rFonts w:ascii="Arial Unicode MS" w:eastAsia="Arial Unicode MS" w:hAnsi="Arial Unicode MS" w:cs="Arial Unicode MS"/>
        </w:rPr>
        <w:t>●</w:t>
      </w:r>
      <w:r>
        <w:rPr>
          <w:rFonts w:ascii="Lato" w:eastAsia="Lato" w:hAnsi="Lato" w:cs="Lato"/>
        </w:rPr>
        <w:t xml:space="preserve">  </w:t>
      </w:r>
      <w:r>
        <w:rPr>
          <w:rFonts w:ascii="Lato" w:eastAsia="Lato" w:hAnsi="Lato" w:cs="Lato"/>
        </w:rPr>
        <w:tab/>
      </w:r>
      <w:proofErr w:type="gramEnd"/>
      <w:r>
        <w:rPr>
          <w:rFonts w:ascii="Lato" w:eastAsia="Lato" w:hAnsi="Lato" w:cs="Lato"/>
        </w:rPr>
        <w:t>Reworded your story AND at least one other paragraph in your own words, so it's not identical to other supporters' letters?</w:t>
      </w:r>
    </w:p>
    <w:p w14:paraId="358690CA" w14:textId="77777777" w:rsidR="00D22EEE" w:rsidRDefault="00000000">
      <w:pPr>
        <w:ind w:left="1080" w:hanging="360"/>
        <w:rPr>
          <w:rFonts w:ascii="Lato" w:eastAsia="Lato" w:hAnsi="Lato" w:cs="Lato"/>
        </w:rPr>
      </w:pPr>
      <w:proofErr w:type="gramStart"/>
      <w:r>
        <w:rPr>
          <w:rFonts w:ascii="Arial Unicode MS" w:eastAsia="Arial Unicode MS" w:hAnsi="Arial Unicode MS" w:cs="Arial Unicode MS"/>
        </w:rPr>
        <w:t>●</w:t>
      </w:r>
      <w:r>
        <w:rPr>
          <w:rFonts w:ascii="Lato" w:eastAsia="Lato" w:hAnsi="Lato" w:cs="Lato"/>
        </w:rPr>
        <w:t xml:space="preserve">  </w:t>
      </w:r>
      <w:r>
        <w:rPr>
          <w:rFonts w:ascii="Lato" w:eastAsia="Lato" w:hAnsi="Lato" w:cs="Lato"/>
        </w:rPr>
        <w:tab/>
      </w:r>
      <w:proofErr w:type="gramEnd"/>
      <w:r>
        <w:rPr>
          <w:rFonts w:ascii="Lato" w:eastAsia="Lato" w:hAnsi="Lato" w:cs="Lato"/>
        </w:rPr>
        <w:t>Included your address, so your MP knows you're their constituent?</w:t>
      </w:r>
    </w:p>
    <w:p w14:paraId="066D5740" w14:textId="77777777" w:rsidR="00D22EEE" w:rsidRDefault="00D22EEE"/>
    <w:sectPr w:rsidR="00D22E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BD447F83-502A-4E4B-BC75-4D3B36A078F5}"/>
    <w:embedItalic r:id="rId2" w:fontKey="{B49570D3-A598-6649-8205-E4398D087277}"/>
  </w:font>
  <w:font w:name="Times New Roman">
    <w:panose1 w:val="02020603050405020304"/>
    <w:charset w:val="00"/>
    <w:family w:val="roman"/>
    <w:pitch w:val="variable"/>
    <w:sig w:usb0="E0002EFF" w:usb1="C000785B" w:usb2="00000009" w:usb3="00000000" w:csb0="000001FF" w:csb1="00000000"/>
    <w:embedRegular r:id="rId3" w:fontKey="{4EDB3FD8-00D2-BF44-B31E-BD51B510B6C2}"/>
  </w:font>
  <w:font w:name="Lato">
    <w:panose1 w:val="020F0502020204030203"/>
    <w:charset w:val="00"/>
    <w:family w:val="swiss"/>
    <w:pitch w:val="variable"/>
    <w:sig w:usb0="E10002FF" w:usb1="5000ECFF" w:usb2="00000021" w:usb3="00000000" w:csb0="0000019F" w:csb1="00000000"/>
    <w:embedRegular r:id="rId4" w:fontKey="{39B183D9-3F89-3548-9D56-BF990DC53779}"/>
    <w:embedBold r:id="rId5" w:fontKey="{9642E773-FCE7-EC45-940A-751384829BA7}"/>
    <w:embedItalic r:id="rId6" w:fontKey="{2703766D-D410-0144-941B-1BE6E671781A}"/>
  </w:font>
  <w:font w:name="Arial Unicode MS">
    <w:panose1 w:val="020B0604020202020204"/>
    <w:charset w:val="80"/>
    <w:family w:val="swiss"/>
    <w:pitch w:val="variable"/>
    <w:sig w:usb0="F7FFAFFF" w:usb1="E9DFFFFF" w:usb2="0000003F" w:usb3="00000000" w:csb0="003F01FF" w:csb1="00000000"/>
    <w:embedRegular r:id="rId7" w:subsetted="1" w:fontKey="{CA75FCA3-6339-B440-AF51-A7BA30F25AA2}"/>
  </w:font>
  <w:font w:name="Calibri">
    <w:panose1 w:val="020F0502020204030204"/>
    <w:charset w:val="00"/>
    <w:family w:val="swiss"/>
    <w:pitch w:val="variable"/>
    <w:sig w:usb0="E0002AFF" w:usb1="C000247B" w:usb2="00000009" w:usb3="00000000" w:csb0="000001FF" w:csb1="00000000"/>
    <w:embedRegular r:id="rId8" w:fontKey="{20D53EC1-82DF-6846-A805-8A1494F81058}"/>
  </w:font>
  <w:font w:name="Cambria">
    <w:panose1 w:val="02040503050406030204"/>
    <w:charset w:val="00"/>
    <w:family w:val="roman"/>
    <w:pitch w:val="variable"/>
    <w:sig w:usb0="E00006FF" w:usb1="420024FF" w:usb2="02000000" w:usb3="00000000" w:csb0="0000019F" w:csb1="00000000"/>
    <w:embedRegular r:id="rId9" w:fontKey="{7786E264-FBAA-734C-A2D1-1CF397D733F5}"/>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EEE"/>
    <w:rsid w:val="002C6C33"/>
    <w:rsid w:val="00D22EEE"/>
    <w:rsid w:val="00E41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83037A"/>
  <w15:docId w15:val="{F5FAF235-0343-C649-8A6C-ABB9E66A4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3303</Characters>
  <Application>Microsoft Office Word</Application>
  <DocSecurity>0</DocSecurity>
  <Lines>64</Lines>
  <Paragraphs>31</Paragraphs>
  <ScaleCrop>false</ScaleCrop>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Humphries</cp:lastModifiedBy>
  <cp:revision>2</cp:revision>
  <dcterms:created xsi:type="dcterms:W3CDTF">2026-07-11T06:47:00Z</dcterms:created>
  <dcterms:modified xsi:type="dcterms:W3CDTF">2026-07-11T06:48:00Z</dcterms:modified>
</cp:coreProperties>
</file>